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Lisa 1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Häädemeeste Vallavalitsuse 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18. </w:t>
      </w:r>
      <w:bookmarkStart w:id="0" w:name="_GoBack"/>
      <w:bookmarkEnd w:id="0"/>
      <w:r>
        <w:rPr>
          <w:rFonts w:ascii="Times New Roman" w:hAnsi="Times New Roman"/>
          <w:b/>
          <w:color w:val="111111"/>
          <w:sz w:val="24"/>
          <w:szCs w:val="24"/>
        </w:rPr>
        <w:t>juuni 2019 korraldusele nr 309</w:t>
      </w:r>
    </w:p>
    <w:p>
      <w:pPr>
        <w:pStyle w:val="Normal"/>
        <w:spacing w:before="0" w:after="0"/>
        <w:rPr>
          <w:rFonts w:ascii="Times New Roman" w:hAnsi="Times New Roman"/>
          <w:b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AVALIKU ÜRITUSE KORRALDAMISE LOA TAOTLUS</w:t>
      </w:r>
    </w:p>
    <w:p>
      <w:pPr>
        <w:pStyle w:val="Normal"/>
        <w:spacing w:before="0" w:after="0"/>
        <w:rPr>
          <w:rFonts w:ascii="Times New Roman" w:hAnsi="Times New Roman"/>
          <w:b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Andmed avaliku ürituse korraldaja kohta</w:t>
      </w:r>
    </w:p>
    <w:tbl>
      <w:tblPr>
        <w:tblW w:w="935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351"/>
      </w:tblGrid>
      <w:tr>
        <w:trPr>
          <w:trHeight w:val="100" w:hRule="atLeast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1. Nimi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Häädemeeste Huvikeskus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2. Registrikood või isikukood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br/>
              <w:t>75030639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3. Aadress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Häädemeeste Suurküla tn 4, Häädemeeste vald.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4. Korraldaja esindaja nimi / vastutav isik </w:t>
            </w:r>
            <w:r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  <w:t>(füüsiline isik)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Anneli Leppik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Default"/>
              <w:jc w:val="both"/>
              <w:rPr>
                <w:b/>
                <w:b/>
                <w:szCs w:val="20"/>
              </w:rPr>
            </w:pPr>
            <w:r>
              <w:rPr>
                <w:color w:val="111111"/>
                <w:szCs w:val="20"/>
              </w:rPr>
              <w:t>5. Korraldaja esindaja kontaktandmed (mobiilinumber ja e-posti aadress),</w:t>
            </w:r>
          </w:p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>
        <w:trPr/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Default"/>
              <w:spacing w:before="60" w:after="60"/>
              <w:jc w:val="both"/>
              <w:rPr/>
            </w:pPr>
            <w:r>
              <w:rPr>
                <w:rFonts w:eastAsia="Times New Roman"/>
                <w:color w:val="111111"/>
                <w:sz w:val="24"/>
                <w:szCs w:val="24"/>
              </w:rPr>
              <w:t>+372 55593118,  huvikeskus@haademeestevald.ee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Andmed avaliku ürituse kohta</w:t>
      </w:r>
    </w:p>
    <w:tbl>
      <w:tblPr>
        <w:tblW w:w="935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29"/>
        <w:gridCol w:w="2904"/>
        <w:gridCol w:w="3018"/>
      </w:tblGrid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6. Ürituse nimetus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50505"/>
                <w:spacing w:val="0"/>
                <w:kern w:val="0"/>
                <w:sz w:val="24"/>
                <w:szCs w:val="24"/>
                <w:lang w:val="et-EE" w:eastAsia="et-EE" w:bidi="ar-SA"/>
              </w:rPr>
              <w:t>Häädemeeste Seltsimaja Pesa disko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et-EE" w:eastAsia="en-US" w:bidi="ar-SA"/>
              </w:rPr>
              <w:t>Disko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>
              <w:rPr>
                <w:rStyle w:val="FootnoteAnchor"/>
                <w:rFonts w:ascii="Times New Roman" w:hAnsi="Times New Roman"/>
                <w:color w:val="111111"/>
                <w:sz w:val="20"/>
                <w:szCs w:val="20"/>
                <w:lang w:eastAsia="et-EE"/>
              </w:rPr>
              <w:footnoteReference w:id="2"/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120" w:after="12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  <w:t>0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  <w:t>2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  <w:t>. augusti õhtul kell 22:00 avame taaskord legendaarse öölokaali Pesa uksed selleks üheks õhtuks.</w:t>
              <w:br/>
              <w:t xml:space="preserve">Pulti astub Pesa baari resident DJ Kännu oma aegumatute hittidega ning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kern w:val="0"/>
                <w:sz w:val="23"/>
                <w:szCs w:val="22"/>
                <w:lang w:val="et-EE" w:eastAsia="en-US" w:bidi="ar-SA"/>
              </w:rPr>
              <w:t xml:space="preserve">peaesinejaks on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kern w:val="0"/>
                <w:sz w:val="23"/>
                <w:szCs w:val="22"/>
                <w:lang w:val="et-EE" w:eastAsia="en-US" w:bidi="ar-SA"/>
              </w:rPr>
              <w:t>ansambel Hellad velled.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kern w:val="0"/>
                <w:sz w:val="23"/>
                <w:szCs w:val="22"/>
                <w:lang w:val="et-EE" w:eastAsia="en-US" w:bidi="ar-SA"/>
              </w:rPr>
              <w:br/>
              <w:t>Pidu toimub Häädemeeste Seltsimajas sees.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</w:r>
          </w:p>
          <w:p>
            <w:pPr>
              <w:pStyle w:val="Normal"/>
              <w:widowControl/>
              <w:spacing w:before="0" w:after="0"/>
              <w:ind w:left="15" w:right="15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  <w:t xml:space="preserve">Alaealised diskole ei pääse. </w:t>
            </w:r>
          </w:p>
          <w:p>
            <w:pPr>
              <w:pStyle w:val="Normal"/>
              <w:spacing w:before="120" w:after="12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50505"/>
                <w:spacing w:val="0"/>
                <w:sz w:val="23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et-EE" w:eastAsia="en-US" w:bidi="ar-SA"/>
              </w:rPr>
              <w:t>Häädemeeste Suurküla tänav 4.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>
        <w:trPr/>
        <w:tc>
          <w:tcPr>
            <w:tcW w:w="34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02.08.2025</w:t>
            </w:r>
          </w:p>
        </w:tc>
        <w:tc>
          <w:tcPr>
            <w:tcW w:w="3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22.00</w:t>
            </w:r>
          </w:p>
        </w:tc>
      </w:tr>
      <w:tr>
        <w:trPr/>
        <w:tc>
          <w:tcPr>
            <w:tcW w:w="34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lang w:eastAsia="en-US"/>
              </w:rPr>
              <w:t>03.08.2025</w:t>
            </w:r>
          </w:p>
        </w:tc>
        <w:tc>
          <w:tcPr>
            <w:tcW w:w="3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et-EE" w:eastAsia="et-EE" w:bidi="ar-SA"/>
              </w:rPr>
              <w:t>03.00</w:t>
            </w:r>
          </w:p>
        </w:tc>
      </w:tr>
      <w:tr>
        <w:trPr/>
        <w:tc>
          <w:tcPr>
            <w:tcW w:w="34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02.08.2025</w:t>
            </w:r>
          </w:p>
        </w:tc>
        <w:tc>
          <w:tcPr>
            <w:tcW w:w="3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18.00</w:t>
            </w:r>
          </w:p>
        </w:tc>
      </w:tr>
      <w:tr>
        <w:trPr/>
        <w:tc>
          <w:tcPr>
            <w:tcW w:w="34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Style w:val="PlaceholderText"/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03.08.2025</w:t>
            </w:r>
          </w:p>
        </w:tc>
        <w:tc>
          <w:tcPr>
            <w:tcW w:w="3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cs="Times New Roman" w:ascii="Times New Roman" w:hAnsi="Times New Roman"/>
                <w:color w:val="111111"/>
                <w:sz w:val="24"/>
                <w:szCs w:val="24"/>
                <w:lang w:eastAsia="et-EE"/>
              </w:rPr>
              <w:t>15.00</w:t>
            </w:r>
          </w:p>
        </w:tc>
      </w:tr>
      <w:tr>
        <w:trPr>
          <w:trHeight w:val="70" w:hRule="atLeast"/>
        </w:trPr>
        <w:tc>
          <w:tcPr>
            <w:tcW w:w="34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et-EE" w:eastAsia="et-EE" w:bidi="ar-SA"/>
              </w:rPr>
              <w:t xml:space="preserve">Osalejate arv kuni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et-EE" w:eastAsia="et-EE" w:bidi="ar-SA"/>
              </w:rPr>
              <w:t>17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lang w:val="et-EE" w:eastAsia="et-EE" w:bidi="ar-SA"/>
              </w:rPr>
              <w:t>0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12. Teave kasutatava heli- ja valgustusseadmete kasutamise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Jah, kasutame helitehnikat Häädemeeste Seltsimaja siseruumis.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Lahtist tuld me sündmusel ei kasuta.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Anneli Leppik, +372 55593118. Palkame üritusele ka turvamehed,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0"/>
                <w:lang w:eastAsia="et-EE"/>
              </w:rPr>
              <w:t>15. Liikluskorraldust tagava juriidilise või füüsilise isiku nimi ja kontaktandmed, juhul, kui ürituse korraldamisel see kaasatakse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widowControl/>
              <w:spacing w:before="120" w:after="120"/>
              <w:ind w:left="0" w:right="0" w:hanging="0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et-EE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et-EE" w:eastAsia="en-US" w:bidi="ar-SA"/>
              </w:rPr>
              <w:t>Liikluskorraldus ei muutu.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>
        <w:trPr>
          <w:trHeight w:val="70" w:hRule="atLeast"/>
        </w:trPr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-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Calibri" w:hAnsi="Calibri" w:eastAsia="Calibri" w:cs="Times New Roman"/>
                <w:color w:val="auto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et-EE" w:eastAsia="en-US" w:bidi="ar-SA"/>
              </w:rPr>
              <w:t>Peole pääseb piletiga, mille hinnaks on 15.-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et-EE" w:eastAsia="et-EE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t-EE" w:eastAsia="et-EE" w:bidi="ar-SA"/>
              </w:rPr>
              <w:t>Jah,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Teavitame ka politseid toimuvast sündmusest.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>
              <w:rPr>
                <w:rFonts w:ascii="Times New Roman" w:hAnsi="Times New Roman"/>
                <w:color w:val="111111"/>
                <w:sz w:val="24"/>
                <w:szCs w:val="18"/>
                <w:lang w:eastAsia="et-EE"/>
              </w:rPr>
              <w:t>veokid heli- ja lavatehnikaga)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-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>
        <w:trPr/>
        <w:tc>
          <w:tcPr>
            <w:tcW w:w="93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"/>
              <w:spacing w:before="60" w:after="60"/>
              <w:rPr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t-EE"/>
              </w:rPr>
              <w:t>…</w:t>
            </w:r>
          </w:p>
        </w:tc>
      </w:tr>
    </w:tbl>
    <w:p>
      <w:pPr>
        <w:pStyle w:val="Bodym1"/>
        <w:numPr>
          <w:ilvl w:val="0"/>
          <w:numId w:val="0"/>
        </w:numPr>
        <w:ind w:left="0" w:hanging="0"/>
        <w:rPr>
          <w:b/>
          <w:b/>
          <w:color w:val="111111"/>
          <w:szCs w:val="23"/>
        </w:rPr>
      </w:pPr>
      <w:r>
        <w:rPr>
          <w:b/>
          <w:color w:val="111111"/>
          <w:szCs w:val="23"/>
        </w:rPr>
      </w:r>
    </w:p>
    <w:p>
      <w:pPr>
        <w:pStyle w:val="Bodym1"/>
        <w:numPr>
          <w:ilvl w:val="0"/>
          <w:numId w:val="0"/>
        </w:numPr>
        <w:ind w:left="0" w:hanging="0"/>
        <w:rPr>
          <w:b/>
          <w:b/>
          <w:szCs w:val="24"/>
        </w:rPr>
      </w:pPr>
      <w:r>
        <w:rPr>
          <w:b/>
          <w:color w:val="111111"/>
          <w:szCs w:val="23"/>
        </w:rPr>
        <w:t xml:space="preserve">Taotlusele </w:t>
      </w:r>
      <w:r>
        <w:rPr>
          <w:b/>
          <w:color w:val="111111"/>
          <w:szCs w:val="24"/>
        </w:rPr>
        <w:t xml:space="preserve">lisatakse järgmised dokumendid </w:t>
      </w:r>
      <w:r>
        <w:rPr>
          <w:rFonts w:cs="TimesNewRomanPSMT" w:ascii="TimesNewRomanPSMT" w:hAnsi="TimesNewRomanPSMT"/>
          <w:color w:val="111111"/>
          <w:sz w:val="20"/>
          <w:lang w:eastAsia="et-EE"/>
        </w:rPr>
        <w:t>(</w:t>
      </w:r>
      <w:r>
        <w:rPr>
          <w:rFonts w:cs="TimesNewRomanPS-ItalicMT" w:ascii="TimesNewRomanPS-ItalicMT" w:hAnsi="TimesNewRomanPS-ItalicMT"/>
          <w:i/>
          <w:iCs/>
          <w:color w:val="111111"/>
          <w:sz w:val="20"/>
          <w:lang w:eastAsia="et-EE"/>
        </w:rPr>
        <w:t>märkige märkeruutu linnuke vastava lisa kohta</w:t>
      </w:r>
      <w:r>
        <w:rPr>
          <w:rFonts w:cs="TimesNewRomanPSMT" w:ascii="TimesNewRomanPSMT" w:hAnsi="TimesNewRomanPSMT"/>
          <w:color w:val="111111"/>
          <w:sz w:val="20"/>
          <w:lang w:eastAsia="et-EE"/>
        </w:rPr>
        <w:t>)</w:t>
      </w:r>
      <w:r>
        <w:rPr>
          <w:color w:val="111111"/>
        </w:rPr>
        <w:t>:</w:t>
      </w:r>
    </w:p>
    <w:p>
      <w:pPr>
        <w:pStyle w:val="Body"/>
        <w:spacing w:beforeAutospacing="0" w:before="0" w:afterAutospacing="0" w:after="0"/>
        <w:jc w:val="both"/>
        <w:rPr>
          <w:rFonts w:ascii="Times New Roman" w:hAnsi="Times New Roman"/>
        </w:rPr>
      </w:pPr>
      <w:r>
        <w:rPr>
          <w:rFonts w:eastAsia="MS Gothic" w:cs="Calibri" w:ascii="MS Gothic" w:hAnsi="MS Gothic"/>
          <w:color w:val="111111"/>
          <w:sz w:val="28"/>
          <w:szCs w:val="28"/>
        </w:rPr>
        <w:t>☐</w:t>
      </w:r>
      <w:r>
        <w:rPr>
          <w:rFonts w:cs="Calibri"/>
          <w:color w:val="111111"/>
          <w:sz w:val="20"/>
          <w:szCs w:val="20"/>
        </w:rPr>
        <w:t xml:space="preserve"> </w:t>
      </w:r>
      <w:r>
        <w:rPr>
          <w:rFonts w:ascii="Times New Roman" w:hAnsi="Times New Roman"/>
          <w:color w:val="111111"/>
        </w:rPr>
        <w:t>asukohaplaan, milles on märgitud täpne ürituse toimumise koht ning küttekoldevälise tule ja/või pürotehnika käitlemise koht</w:t>
      </w:r>
    </w:p>
    <w:p>
      <w:pPr>
        <w:pStyle w:val="Bodym1"/>
        <w:numPr>
          <w:ilvl w:val="0"/>
          <w:numId w:val="0"/>
        </w:numPr>
        <w:ind w:left="0" w:hanging="0"/>
        <w:rPr>
          <w:color w:val="111111"/>
        </w:rPr>
      </w:pPr>
      <w:r>
        <w:rPr>
          <w:rFonts w:eastAsia="MS Gothic" w:cs="Calibri" w:ascii="MS Gothic" w:hAnsi="MS Gothic"/>
          <w:color w:val="111111"/>
          <w:sz w:val="28"/>
          <w:szCs w:val="28"/>
        </w:rPr>
        <w:t>☐</w:t>
      </w:r>
      <w:r>
        <w:rPr>
          <w:rFonts w:cs="Calibri"/>
          <w:color w:val="111111"/>
          <w:sz w:val="20"/>
        </w:rPr>
        <w:t xml:space="preserve"> </w:t>
      </w:r>
      <w:r>
        <w:rPr>
          <w:color w:val="111111"/>
          <w:szCs w:val="24"/>
        </w:rPr>
        <w:t xml:space="preserve">ilutulestiku korraldamise loa taotlus vastavalt </w:t>
      </w:r>
      <w:r>
        <w:rPr>
          <w:color w:val="111111"/>
        </w:rPr>
        <w:t>lõhkematerjaliseadusele</w:t>
      </w:r>
      <w:r>
        <w:rPr>
          <w:color w:val="111111"/>
          <w:szCs w:val="24"/>
        </w:rPr>
        <w:t xml:space="preserve">, kui üritusel korraldatakse ilutulestik </w:t>
      </w:r>
      <w:r>
        <w:rPr>
          <w:color w:val="111111"/>
        </w:rPr>
        <w:t>F3- ja/või F4-kategooria pürotehnilise tootega</w:t>
      </w:r>
    </w:p>
    <w:p>
      <w:pPr>
        <w:pStyle w:val="Bodym1"/>
        <w:numPr>
          <w:ilvl w:val="0"/>
          <w:numId w:val="0"/>
        </w:numPr>
        <w:ind w:left="0" w:hanging="0"/>
        <w:rPr>
          <w:color w:val="111111"/>
        </w:rPr>
      </w:pPr>
      <w:r>
        <w:rPr>
          <w:color w:val="111111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</w:rPr>
        <w:t xml:space="preserve">Ürituse korraldaja kooskõlastab ürituse järgmiste ametiasutustega ning esitab need koos 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taotlusega vallavalitsusele </w:t>
      </w:r>
      <w:r>
        <w:rPr>
          <w:rFonts w:ascii="Times New Roman" w:hAnsi="Times New Roman"/>
          <w:color w:val="111111"/>
          <w:sz w:val="20"/>
          <w:szCs w:val="24"/>
          <w:lang w:eastAsia="et-EE"/>
        </w:rPr>
        <w:t>(</w:t>
      </w:r>
      <w:r>
        <w:rPr>
          <w:rFonts w:ascii="Times New Roman" w:hAnsi="Times New Roman"/>
          <w:i/>
          <w:iCs/>
          <w:color w:val="111111"/>
          <w:sz w:val="24"/>
          <w:szCs w:val="24"/>
          <w:lang w:eastAsia="et-EE"/>
        </w:rPr>
        <w:t>märkige märkeruutu linnuke vastava lisa kohta</w:t>
      </w:r>
      <w:r>
        <w:rPr>
          <w:rFonts w:ascii="Times New Roman" w:hAnsi="Times New Roman"/>
          <w:color w:val="111111"/>
          <w:sz w:val="24"/>
          <w:szCs w:val="24"/>
          <w:lang w:eastAsia="et-EE"/>
        </w:rPr>
        <w:t>)</w:t>
      </w:r>
      <w:r>
        <w:rPr>
          <w:rFonts w:ascii="Times New Roman" w:hAnsi="Times New Roman"/>
          <w:color w:val="111111"/>
          <w:sz w:val="24"/>
          <w:szCs w:val="24"/>
        </w:rPr>
        <w:t>:</w:t>
      </w:r>
    </w:p>
    <w:p>
      <w:pPr>
        <w:pStyle w:val="NormalWeb"/>
        <w:spacing w:before="0" w:afterAutospacing="0" w:after="0"/>
        <w:jc w:val="both"/>
        <w:rPr>
          <w:color w:val="111111"/>
        </w:rPr>
      </w:pPr>
      <w:r>
        <w:rPr>
          <w:rFonts w:eastAsia="MS Gothic" w:cs="Segoe UI Symbol" w:ascii="Segoe UI Symbol" w:hAnsi="Segoe UI Symbol"/>
          <w:color w:val="111111"/>
          <w:highlight w:val="yellow"/>
        </w:rPr>
        <w:t>☐</w:t>
      </w:r>
      <w:r>
        <w:rPr>
          <w:color w:val="111111"/>
        </w:rPr>
        <w:t xml:space="preserve"> </w:t>
      </w:r>
      <w:r>
        <w:rPr>
          <w:color w:val="111111"/>
        </w:rPr>
        <w:t>Politsei- ja Piirivalveameti Lääne prefektuuriga</w:t>
      </w:r>
    </w:p>
    <w:p>
      <w:pPr>
        <w:pStyle w:val="NormalWeb"/>
        <w:spacing w:before="0" w:afterAutospacing="0" w:after="0"/>
        <w:jc w:val="both"/>
        <w:rPr>
          <w:color w:val="111111"/>
        </w:rPr>
      </w:pPr>
      <w:r>
        <w:rPr>
          <w:rFonts w:eastAsia="MS Gothic" w:cs="Segoe UI Symbol" w:ascii="Segoe UI Symbol" w:hAnsi="Segoe UI Symbol"/>
          <w:color w:val="111111"/>
        </w:rPr>
        <w:t>☐</w:t>
      </w:r>
      <w:r>
        <w:rPr>
          <w:color w:val="111111"/>
        </w:rPr>
        <w:t xml:space="preserve"> </w:t>
      </w:r>
      <w:r>
        <w:rPr>
          <w:color w:val="111111"/>
        </w:rPr>
        <w:t>Päästeameti Lääne päästekeskusega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Segoe UI Symbol" w:hAnsi="Segoe UI Symbol"/>
          <w:color w:val="111111"/>
          <w:sz w:val="24"/>
          <w:szCs w:val="24"/>
        </w:rPr>
        <w:t>☐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Maanteeametiga, juhul kui liikluskorraldust muudetakse riigiteel</w:t>
      </w:r>
    </w:p>
    <w:p>
      <w:pPr>
        <w:pStyle w:val="Default"/>
        <w:jc w:val="both"/>
        <w:rPr>
          <w:color w:val="111111"/>
        </w:rPr>
      </w:pPr>
      <w:r>
        <w:rPr>
          <w:rFonts w:eastAsia="MS Gothic" w:cs="Segoe UI Symbol" w:ascii="Segoe UI Symbol" w:hAnsi="Segoe UI Symbol"/>
          <w:color w:val="111111"/>
        </w:rPr>
        <w:t>☐</w:t>
      </w:r>
      <w:r>
        <w:rPr>
          <w:color w:val="111111"/>
        </w:rPr>
        <w:t xml:space="preserve"> </w:t>
      </w:r>
      <w:r>
        <w:rPr>
          <w:color w:val="111111"/>
        </w:rPr>
        <w:t>sõltuvalt ürituse iseloomust, laadist ja asukohast teiste asutustega, füüsiliste- ja/või juriidiliste isikutega ja/või organisatsioonidega</w:t>
      </w:r>
    </w:p>
    <w:p>
      <w:pPr>
        <w:pStyle w:val="Default"/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Segoe UI Symbol" w:hAnsi="Segoe UI Symbol"/>
          <w:color w:val="111111"/>
          <w:sz w:val="24"/>
          <w:szCs w:val="24"/>
          <w:highlight w:val="yellow"/>
        </w:rPr>
        <w:t>☐</w:t>
      </w:r>
      <w:r>
        <w:rPr>
          <w:rFonts w:ascii="Times New Roman" w:hAnsi="Times New Roman"/>
          <w:color w:val="111111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lang w:eastAsia="et-EE"/>
        </w:rPr>
        <w:t>Nõustun taotluse menetlemisega seotud dokumentide saatmisega elektroonilises vormis e-posti aadressile.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tbl>
      <w:tblPr>
        <w:tblW w:w="340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402"/>
      </w:tblGrid>
      <w:tr>
        <w:trPr>
          <w:trHeight w:val="70" w:hRule="atLeast"/>
        </w:trPr>
        <w:tc>
          <w:tcPr>
            <w:tcW w:w="340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  <w:t>/ees- ja perekonnanimi/</w:t>
            </w:r>
          </w:p>
        </w:tc>
      </w:tr>
      <w:tr>
        <w:trPr>
          <w:trHeight w:val="70" w:hRule="atLeast"/>
        </w:trPr>
        <w:tc>
          <w:tcPr>
            <w:tcW w:w="34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</w:r>
          </w:p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111111"/>
                <w:sz w:val="20"/>
                <w:szCs w:val="24"/>
                <w:lang w:eastAsia="et-EE"/>
              </w:rPr>
              <w:t>Anneli Leppik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  <w:t>/kuupäev/</w:t>
            </w:r>
          </w:p>
        </w:tc>
      </w:tr>
      <w:tr>
        <w:trPr/>
        <w:tc>
          <w:tcPr>
            <w:tcW w:w="340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color w:val="111111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</w:r>
          </w:p>
          <w:p>
            <w:pPr>
              <w:pStyle w:val="Normal"/>
              <w:spacing w:before="0" w:after="0"/>
              <w:ind w:left="-108" w:hanging="0"/>
              <w:rPr/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  <w:t>05.06. 2025</w:t>
            </w:r>
          </w:p>
        </w:tc>
      </w:tr>
      <w:tr>
        <w:trPr>
          <w:trHeight w:val="70" w:hRule="atLeast"/>
        </w:trPr>
        <w:tc>
          <w:tcPr>
            <w:tcW w:w="340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rPr>
                <w:rFonts w:ascii="Times New Roman" w:hAnsi="Times New Roman"/>
                <w:i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szCs w:val="24"/>
                <w:lang w:eastAsia="et-EE"/>
              </w:rPr>
              <w:t>/allkiri / digiallkiri/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>
          <w:rFonts w:ascii="TimesNewRomanPSMT" w:hAnsi="TimesNewRomanPSMT" w:cs="TimesNewRomanPSMT"/>
          <w:color w:val="111111"/>
          <w:sz w:val="20"/>
          <w:szCs w:val="20"/>
          <w:lang w:eastAsia="et-EE"/>
        </w:rPr>
      </w:pPr>
      <w:r>
        <w:rPr>
          <w:rFonts w:cs="TimesNewRomanPSMT" w:ascii="TimesNewRomanPSMT" w:hAnsi="TimesNewRomanPSMT"/>
          <w:color w:val="111111"/>
          <w:sz w:val="20"/>
          <w:szCs w:val="20"/>
          <w:lang w:eastAsia="et-EE"/>
        </w:rPr>
      </w:r>
    </w:p>
    <w:p>
      <w:pPr>
        <w:pStyle w:val="Normal"/>
        <w:spacing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49" w:header="0" w:top="709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defaultTabStop w:val="709"/>
  <w:footnotePr>
    <w:numFmt w:val="decimal"/>
    <w:footnote w:id="0"/>
    <w:footnote w:id="1"/>
  </w:footnotePr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ad9"/>
    <w:pPr>
      <w:widowControl/>
      <w:kinsoku w:val="true"/>
      <w:overflowPunct w:val="true"/>
      <w:autoSpaceDE w:val="true"/>
      <w:bidi w:val="0"/>
      <w:spacing w:before="120" w:after="12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rsid w:val="008c1ad9"/>
    <w:rPr>
      <w:rFonts w:cs="Times New Roman"/>
      <w:color w:val="0000FF"/>
      <w:u w:val="single"/>
    </w:rPr>
  </w:style>
  <w:style w:type="character" w:styleId="Expand19200" w:customStyle="1">
    <w:name w:val="expand19-200"/>
    <w:basedOn w:val="DefaultParagraphFont"/>
    <w:uiPriority w:val="99"/>
    <w:qFormat/>
    <w:rsid w:val="008c1ad9"/>
    <w:rPr>
      <w:rFonts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Characters">
    <w:name w:val="Footnote Characters"/>
    <w:basedOn w:val="DefaultParagraphFont"/>
    <w:uiPriority w:val="99"/>
    <w:qFormat/>
    <w:rsid w:val="008c1ad9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8c1ad9"/>
    <w:rPr>
      <w:rFonts w:cs="Times New Roman"/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m1" w:customStyle="1">
    <w:name w:val="Bodym1"/>
    <w:basedOn w:val="Bodym"/>
    <w:uiPriority w:val="99"/>
    <w:qFormat/>
    <w:rsid w:val="008c1ad9"/>
    <w:pPr>
      <w:spacing w:before="0" w:after="0"/>
      <w:ind w:left="0" w:hanging="0"/>
    </w:pPr>
    <w:rPr/>
  </w:style>
  <w:style w:type="paragraph" w:styleId="Loetelum" w:customStyle="1">
    <w:name w:val="Loetelum"/>
    <w:basedOn w:val="Normal"/>
    <w:uiPriority w:val="99"/>
    <w:qFormat/>
    <w:rsid w:val="008c1ad9"/>
    <w:pPr>
      <w:keepNext w:val="true"/>
      <w:tabs>
        <w:tab w:val="clear" w:pos="709"/>
        <w:tab w:val="left" w:pos="6521" w:leader="none"/>
      </w:tabs>
      <w:spacing w:before="120" w:after="0"/>
      <w:jc w:val="both"/>
    </w:pPr>
    <w:rPr>
      <w:rFonts w:ascii="Times New Roman" w:hAnsi="Times New Roman" w:eastAsia="Times New Roman"/>
      <w:b/>
      <w:sz w:val="24"/>
      <w:szCs w:val="20"/>
    </w:rPr>
  </w:style>
  <w:style w:type="paragraph" w:styleId="Bodym" w:customStyle="1">
    <w:name w:val="Bodym"/>
    <w:basedOn w:val="Normal"/>
    <w:uiPriority w:val="99"/>
    <w:qFormat/>
    <w:rsid w:val="008c1ad9"/>
    <w:pPr>
      <w:spacing w:before="80" w:after="0"/>
      <w:jc w:val="both"/>
    </w:pPr>
    <w:rPr>
      <w:rFonts w:ascii="Times New Roman" w:hAnsi="Times New Roman" w:eastAsia="Times New Roman"/>
      <w:sz w:val="24"/>
      <w:szCs w:val="20"/>
    </w:rPr>
  </w:style>
  <w:style w:type="paragraph" w:styleId="Default" w:customStyle="1">
    <w:name w:val="Default"/>
    <w:uiPriority w:val="99"/>
    <w:qFormat/>
    <w:rsid w:val="008c1ad9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t-EE" w:eastAsia="et-EE" w:bidi="ar-SA"/>
    </w:rPr>
  </w:style>
  <w:style w:type="paragraph" w:styleId="Body" w:customStyle="1">
    <w:name w:val="body"/>
    <w:basedOn w:val="Normal"/>
    <w:uiPriority w:val="99"/>
    <w:qFormat/>
    <w:rsid w:val="008c1ad9"/>
    <w:pPr>
      <w:spacing w:beforeAutospacing="1" w:afterAutospacing="1"/>
    </w:pPr>
    <w:rPr>
      <w:rFonts w:ascii="Arial Unicode MS" w:hAnsi="Arial Unicode MS" w:eastAsia="Times New Roman"/>
      <w:sz w:val="24"/>
      <w:szCs w:val="24"/>
      <w:lang w:val="en-GB"/>
    </w:rPr>
  </w:style>
  <w:style w:type="paragraph" w:styleId="Footnote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hAnsi="Times New Roman" w:eastAsia="Times New Roman"/>
      <w:sz w:val="20"/>
      <w:szCs w:val="20"/>
      <w:lang w:eastAsia="et-EE"/>
    </w:rPr>
  </w:style>
  <w:style w:type="paragraph" w:styleId="NormalWeb">
    <w:name w:val="Normal (Web)"/>
    <w:basedOn w:val="Normal"/>
    <w:uiPriority w:val="99"/>
    <w:qFormat/>
    <w:rsid w:val="008c1ad9"/>
    <w:pPr>
      <w:spacing w:before="240" w:afterAutospacing="1"/>
    </w:pPr>
    <w:rPr>
      <w:rFonts w:ascii="Times New Roman" w:hAnsi="Times New Roman" w:eastAsia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b07c3"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c1ad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Application>LibreOffice/6.3.0.4$Windows_X86_64 LibreOffice_project/057fc023c990d676a43019934386b85b21a9ee99</Application>
  <Pages>3</Pages>
  <Words>519</Words>
  <Characters>3732</Characters>
  <CharactersWithSpaces>4181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2019-06-19T10:10:00Z</dcterms:created>
  <dc:creator>Eliko Saks</dc:creator>
  <dc:description/>
  <dc:language>et-EE</dc:language>
  <cp:lastModifiedBy/>
  <cp:lastPrinted>2019-06-13T07:35:00Z</cp:lastPrinted>
  <dcterms:modified xsi:type="dcterms:W3CDTF">2025-06-05T13:46:18Z</dcterms:modified>
  <cp:revision>14</cp:revision>
  <dc:subject/>
  <dc:title>AVALIKU ÜRITUSE KORRALDAMISE LOA TAOTLUS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